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1" w:lineRule="exact"/>
      </w:pPr>
      <w:bookmarkStart w:id="0" w:name="A4077B1411954AA08F418DC4532AB007"/>
      <w:bookmarkEnd w:id="0"/>
    </w:p>
    <w:p>
      <w:pPr>
        <w:spacing w:after="0" w:line="226" w:lineRule="exact"/>
      </w:pPr>
    </w:p>
    <w:p>
      <w:pPr>
        <w:spacing w:before="40" w:after="40" w:line="560" w:lineRule="exact"/>
        <w:ind w:left="40" w:right="235"/>
        <w:jc w:val="center"/>
        <w:rPr>
          <w:rFonts w:hint="eastAsia" w:ascii="方正小标宋简体" w:hAnsi="方正小标宋简体" w:eastAsia="方正小标宋简体" w:cs="方正小标宋简体"/>
          <w:b/>
          <w:color w:val="000000"/>
          <w:sz w:val="36"/>
        </w:rPr>
      </w:pPr>
      <w:r>
        <w:rPr>
          <w:rFonts w:hint="eastAsia" w:ascii="方正小标宋简体" w:hAnsi="方正小标宋简体" w:eastAsia="方正小标宋简体" w:cs="方正小标宋简体"/>
          <w:b/>
          <w:color w:val="000000"/>
          <w:sz w:val="36"/>
        </w:rPr>
        <w:t>梓潼县人民检察院本级部门</w:t>
      </w:r>
    </w:p>
    <w:p>
      <w:pPr>
        <w:spacing w:after="0" w:line="105" w:lineRule="exact"/>
      </w:pPr>
    </w:p>
    <w:p>
      <w:pPr>
        <w:spacing w:before="40" w:after="40" w:line="640" w:lineRule="exact"/>
        <w:ind w:left="90" w:right="185"/>
        <w:jc w:val="center"/>
        <w:rPr>
          <w:rFonts w:hint="eastAsia" w:ascii="方正小标宋简体" w:hAnsi="方正小标宋简体" w:eastAsia="方正小标宋简体" w:cs="方正小标宋简体"/>
          <w:b/>
          <w:color w:val="000000"/>
          <w:sz w:val="44"/>
        </w:rPr>
      </w:pPr>
      <w:r>
        <w:rPr>
          <w:rFonts w:hint="eastAsia" w:ascii="方正小标宋简体" w:hAnsi="方正小标宋简体" w:eastAsia="方正小标宋简体" w:cs="方正小标宋简体"/>
          <w:b/>
          <w:color w:val="000000"/>
          <w:sz w:val="44"/>
        </w:rPr>
        <w:t>部门整体支出绩效评价报告</w:t>
      </w:r>
    </w:p>
    <w:p>
      <w:pPr>
        <w:spacing w:after="0" w:line="105" w:lineRule="exact"/>
      </w:pPr>
    </w:p>
    <w:p>
      <w:pPr>
        <w:spacing w:before="40" w:after="40" w:line="600" w:lineRule="exact"/>
        <w:ind w:left="40" w:right="235"/>
        <w:jc w:val="center"/>
        <w:rPr>
          <w:rFonts w:hint="eastAsia" w:ascii="方正小标宋简体" w:hAnsi="方正小标宋简体" w:eastAsia="方正小标宋简体" w:cs="方正小标宋简体"/>
          <w:b/>
          <w:color w:val="000000"/>
          <w:sz w:val="40"/>
        </w:rPr>
      </w:pPr>
      <w:r>
        <w:rPr>
          <w:rFonts w:hint="eastAsia" w:ascii="方正小标宋简体" w:hAnsi="方正小标宋简体" w:eastAsia="方正小标宋简体" w:cs="方正小标宋简体"/>
          <w:b/>
          <w:color w:val="000000"/>
          <w:sz w:val="40"/>
        </w:rPr>
        <w:t>（2023年度）</w:t>
      </w:r>
    </w:p>
    <w:p>
      <w:pPr>
        <w:spacing w:after="0" w:line="559" w:lineRule="exact"/>
      </w:pPr>
    </w:p>
    <w:p>
      <w:pPr>
        <w:spacing w:before="40" w:after="40" w:line="520" w:lineRule="exact"/>
        <w:ind w:left="153" w:right="4915"/>
        <w:jc w:val="left"/>
        <w:rPr>
          <w:rFonts w:hint="eastAsia" w:ascii="黑体" w:hAnsi="黑体" w:eastAsia="黑体" w:cs="黑体"/>
          <w:color w:val="000000"/>
          <w:sz w:val="32"/>
        </w:rPr>
      </w:pPr>
      <w:r>
        <w:rPr>
          <w:rFonts w:hint="eastAsia" w:ascii="黑体" w:hAnsi="黑体" w:eastAsia="黑体" w:cs="黑体"/>
          <w:color w:val="000000"/>
          <w:sz w:val="32"/>
        </w:rPr>
        <w:t>一、部门（单位）概况</w:t>
      </w:r>
    </w:p>
    <w:p>
      <w:pPr>
        <w:spacing w:after="0" w:line="12" w:lineRule="exact"/>
      </w:pPr>
    </w:p>
    <w:p>
      <w:pPr>
        <w:spacing w:before="40" w:after="40" w:line="520" w:lineRule="exact"/>
        <w:ind w:left="606" w:right="4462"/>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（一）机构组成</w:t>
      </w:r>
    </w:p>
    <w:p>
      <w:pPr>
        <w:spacing w:after="0" w:line="12" w:lineRule="exact"/>
      </w:pPr>
    </w:p>
    <w:p>
      <w:pPr>
        <w:spacing w:before="40" w:after="40" w:line="520" w:lineRule="exact"/>
        <w:ind w:left="153" w:right="266"/>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梓潼县人民检察院为一级预算单位，无下属二级预算单位。内设机构5个，为办公室、第一检察部（未成年人检察部）、第二检察部（公益诉讼检察部）、第三检察部、政治部（司法警察大队）。</w:t>
      </w:r>
    </w:p>
    <w:p>
      <w:pPr>
        <w:spacing w:after="0" w:line="13" w:lineRule="exact"/>
      </w:pPr>
    </w:p>
    <w:p>
      <w:pPr>
        <w:spacing w:before="40" w:after="40" w:line="520" w:lineRule="exact"/>
        <w:ind w:left="606" w:right="4462"/>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（二）机构职能</w:t>
      </w:r>
    </w:p>
    <w:p>
      <w:pPr>
        <w:spacing w:after="0" w:line="13" w:lineRule="exact"/>
      </w:pPr>
    </w:p>
    <w:p>
      <w:pPr>
        <w:spacing w:before="40" w:after="40" w:line="520" w:lineRule="exact"/>
        <w:ind w:left="153" w:right="266"/>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人民检察院是国家的法律监督机关，依法行使下列职权:(1)对于叛国案、分裂国家案以及严重破坏国家的政策、法律、政令统一实施的重大犯罪案件，行使检察权。(2)对于公安机关、国家安全机关等侦查机关侦查的案件进行审查，决定是否逮捕、起诉或者不起诉。并对侦查机关的侦查活动是否合法实行监督。(3)对于刑事案件提起公诉，支持公诉；对于人民法院的刑事判决、裁定是否正确和审判活动是否合法实行监督。(4)对于监狱、看守所等执行机关执行刑罚的活动是否合法实行监督。（5）对于人民法院的民事审判活动实行法律监督,对人民法院已经发生效力的判决、裁定，发现违反法律、法规规定的，依法提出抗诉。（6）对于行政诉讼实行法律监督。对人民法院已经发生效力的判决、裁定发现违反法律、法规规定的，依法提出抗诉。</w:t>
      </w:r>
    </w:p>
    <w:p>
      <w:pPr>
        <w:spacing w:after="0" w:line="13" w:lineRule="exact"/>
      </w:pPr>
    </w:p>
    <w:p>
      <w:pPr>
        <w:spacing w:before="40" w:after="40" w:line="520" w:lineRule="exact"/>
        <w:ind w:left="606" w:right="4462"/>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（三）人员概况</w:t>
      </w:r>
    </w:p>
    <w:p>
      <w:pPr>
        <w:spacing w:after="0" w:line="12" w:lineRule="exact"/>
      </w:pPr>
    </w:p>
    <w:p>
      <w:pPr>
        <w:spacing w:before="40" w:after="40" w:line="520" w:lineRule="exact"/>
        <w:ind w:left="153" w:right="266"/>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2023年检察院编制数为37，在职在编36人，聘用制工作人员14名，遗属人员2名，退休人员共计28人。</w:t>
      </w:r>
    </w:p>
    <w:p>
      <w:pPr>
        <w:spacing w:after="0" w:line="37" w:lineRule="exact"/>
      </w:pPr>
    </w:p>
    <w:p>
      <w:pPr>
        <w:spacing w:before="40" w:after="40" w:line="520" w:lineRule="exact"/>
        <w:ind w:left="153" w:right="4355"/>
        <w:jc w:val="left"/>
        <w:rPr>
          <w:rFonts w:hint="eastAsia" w:ascii="黑体" w:hAnsi="黑体" w:eastAsia="黑体" w:cs="黑体"/>
          <w:color w:val="000000"/>
          <w:sz w:val="32"/>
        </w:rPr>
      </w:pPr>
      <w:r>
        <w:rPr>
          <w:rFonts w:hint="eastAsia" w:ascii="黑体" w:hAnsi="黑体" w:eastAsia="黑体" w:cs="黑体"/>
          <w:color w:val="000000"/>
          <w:sz w:val="32"/>
        </w:rPr>
        <w:t>二、部门财政资金收支情况
</w:t>
      </w:r>
    </w:p>
    <w:p>
      <w:pPr>
        <w:spacing w:after="0" w:line="28" w:lineRule="exact"/>
      </w:pPr>
    </w:p>
    <w:p>
      <w:pPr>
        <w:spacing w:before="40" w:after="40" w:line="520" w:lineRule="exact"/>
        <w:ind w:left="606" w:right="2874"/>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（一）部门财政资金收入情况</w:t>
      </w:r>
    </w:p>
    <w:p>
      <w:pPr>
        <w:spacing w:after="0" w:line="28" w:lineRule="exact"/>
      </w:pPr>
    </w:p>
    <w:p>
      <w:pPr>
        <w:spacing w:before="40" w:after="40" w:line="520" w:lineRule="exact"/>
        <w:ind w:left="189" w:right="230"/>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年度部门年初预算收入1023.68万元。部门决算收入1187.81万元，其中一般公共预算决算收入1187.81万元，政府性基金预算决算收入0.00万元，国有资本经营预算决算收入0.00万元，社会保险基金预算决算收入0.00万元。</w:t>
      </w:r>
    </w:p>
    <w:p>
      <w:pPr>
        <w:spacing w:after="0" w:line="28" w:lineRule="exact"/>
      </w:pPr>
    </w:p>
    <w:p>
      <w:pPr>
        <w:spacing w:before="40" w:after="40" w:line="520" w:lineRule="exact"/>
        <w:ind w:left="606" w:right="2421"/>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（二）部门财政资金支出情况
</w:t>
      </w:r>
    </w:p>
    <w:p>
      <w:pPr>
        <w:spacing w:after="0" w:line="29" w:lineRule="exact"/>
      </w:pPr>
    </w:p>
    <w:p>
      <w:pPr>
        <w:spacing w:before="40" w:after="40" w:line="520" w:lineRule="exact"/>
        <w:ind w:left="205" w:right="21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年度部门决算支出1187.79万元，其中基本支出决算支出869.50万元（含人员支出708.64万元，公用支出160.86万元）；项目支出318.29万元（含一般公共预算项目支出318.29万元，政府性基金项目支出0.00万元，国有资本经营预算项目支出0.00万元，社会保险基金项目支出   0.00万元）。结转和结余0.00万元（含一般公共预算0.00万元，政府性基金0.00万元）。</w:t>
      </w:r>
    </w:p>
    <w:p>
      <w:pPr>
        <w:spacing w:after="0" w:line="28" w:lineRule="exact"/>
      </w:pPr>
    </w:p>
    <w:p>
      <w:pPr>
        <w:spacing w:before="40" w:after="40" w:line="520" w:lineRule="exact"/>
        <w:ind w:left="606" w:right="2080"/>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（三）相关支出预算管理情况</w:t>
      </w:r>
    </w:p>
    <w:p>
      <w:pPr>
        <w:spacing w:before="40" w:after="40" w:line="520" w:lineRule="exact"/>
        <w:ind w:left="189" w:right="230"/>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年度预算执行率99.99%；政府采购预算0.00万元，采购执行0.00万元，采购执行率 0.00%；三公经费预算18.00万元，决算支出17.53万元，控制率97.39%；部门年末固定资产2010.50万元，其中在用固定资产2010.50万元，出租固定资产0.00万元。</w:t>
      </w:r>
    </w:p>
    <w:p>
      <w:pPr>
        <w:spacing w:after="0" w:line="57" w:lineRule="exact"/>
      </w:pPr>
    </w:p>
    <w:p>
      <w:pPr>
        <w:spacing w:before="40" w:after="40" w:line="520" w:lineRule="exact"/>
        <w:ind w:left="153" w:right="4355"/>
        <w:jc w:val="left"/>
        <w:rPr>
          <w:rFonts w:hint="eastAsia" w:ascii="黑体" w:hAnsi="黑体" w:eastAsia="黑体" w:cs="黑体"/>
          <w:color w:val="000000"/>
          <w:sz w:val="32"/>
        </w:rPr>
      </w:pPr>
      <w:r>
        <w:rPr>
          <w:rFonts w:hint="eastAsia" w:ascii="黑体" w:hAnsi="黑体" w:eastAsia="黑体" w:cs="黑体"/>
          <w:color w:val="000000"/>
          <w:sz w:val="32"/>
        </w:rPr>
        <w:t>三、部门主要履职绩效分析</w:t>
      </w:r>
    </w:p>
    <w:p>
      <w:pPr>
        <w:spacing w:before="40" w:after="40" w:line="520" w:lineRule="exact"/>
        <w:ind w:left="606" w:right="3554"/>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（一）年度主要任务及完成情况</w:t>
      </w:r>
    </w:p>
    <w:p>
      <w:pPr>
        <w:spacing w:after="0" w:line="28" w:lineRule="exact"/>
      </w:pPr>
    </w:p>
    <w:p>
      <w:pPr>
        <w:spacing w:before="40" w:after="40" w:line="520" w:lineRule="exact"/>
        <w:ind w:left="380" w:right="21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(1)、预算执行率达标，业务工作在全市业务核心数据考核中占优。；</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2023年预算执行率达到了96.31%，业务工作在全市业务核心数据考核中名列前茅</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(2)、优化OA办公云平台，保障网络运行通畅，达到科技强检的目的。；</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2023年我院保障了网络运行畅通，达到了科技强检的目的，为办案创造了有力的条件。</w:t>
      </w:r>
    </w:p>
    <w:p>
      <w:pPr>
        <w:spacing w:after="0" w:line="57" w:lineRule="exact"/>
      </w:pPr>
    </w:p>
    <w:p>
      <w:pPr>
        <w:spacing w:before="40" w:after="40" w:line="520" w:lineRule="exact"/>
        <w:ind w:left="235" w:right="266"/>
        <w:jc w:val="left"/>
        <w:rPr>
          <w:rFonts w:hint="eastAsia" w:ascii="黑体" w:hAnsi="黑体" w:eastAsia="黑体" w:cs="黑体"/>
          <w:color w:val="000000"/>
          <w:sz w:val="32"/>
        </w:rPr>
      </w:pPr>
      <w:r>
        <w:rPr>
          <w:rFonts w:hint="eastAsia" w:ascii="黑体" w:hAnsi="黑体" w:eastAsia="黑体" w:cs="黑体"/>
          <w:color w:val="000000"/>
          <w:sz w:val="32"/>
        </w:rPr>
        <w:t>四、部门主要履职绩效分析年度总体目标及实际完成情况</w:t>
      </w:r>
    </w:p>
    <w:p>
      <w:pPr>
        <w:spacing w:before="40" w:after="40" w:line="520" w:lineRule="exact"/>
        <w:ind w:left="688" w:right="3473"/>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（一）年度总体目标</w:t>
      </w:r>
    </w:p>
    <w:p>
      <w:pPr>
        <w:spacing w:after="0" w:line="29" w:lineRule="exact"/>
      </w:pPr>
    </w:p>
    <w:p>
      <w:pPr>
        <w:spacing w:before="40" w:after="40" w:line="520" w:lineRule="exact"/>
        <w:ind w:left="235" w:right="18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(1)对于叛国案、分裂国家案以及严重破坏国家的政策、法律、政令统一实施的重大犯罪案件，行使检察权。(2)对于公安机关、国家安全机关等侦查机关侦查的案件进行审查，决定是否逮捕、起诉或者不起诉。并对侦查机关的侦查活动是否合法实行监督。(3)对于刑事案件提起公诉，支持公诉；对于人民法院的刑事判决、裁定是否正确和审判活动是否合法实行监督。(4)对于监狱、看守所等执行机关执行刑罚的活动是否合法实行监督。（5）对于人民法院的民事审判活动实行法律监督,对人民法院已经发生效力的判决、裁定，发现违反法律、法规规定的，依法提出抗诉。（6）对于行政诉讼实行法律监督。对人民法院已经发生效力的判决、裁定发现违反法律、法规规定的，依法提出抗诉。</w:t>
      </w:r>
    </w:p>
    <w:p>
      <w:pPr>
        <w:spacing w:after="0" w:line="28" w:lineRule="exact"/>
      </w:pPr>
    </w:p>
    <w:p>
      <w:pPr>
        <w:spacing w:before="40" w:after="40" w:line="520" w:lineRule="exact"/>
        <w:ind w:left="688" w:right="2421"/>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（二）年度总体目标实际完成情况</w:t>
      </w:r>
    </w:p>
    <w:p>
      <w:pPr>
        <w:spacing w:after="0" w:line="29" w:lineRule="exact"/>
      </w:pPr>
    </w:p>
    <w:p>
      <w:pPr>
        <w:spacing w:before="40" w:after="40" w:line="520" w:lineRule="exact"/>
        <w:ind w:left="235" w:right="18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2023年我院坚决维护国家安全和社会稳定，依法打击各类刑事犯罪，受理审查逮捕案件62件123人，批捕35件74人，受理审查起诉215件323人，起诉210件290人。起诉故意伤害、过失致人死亡、强奸等严重暴力犯罪19人，起诉群众感受最直接、最影响安全感的黄赌毒、寻衅滋事、危险驾驶等犯罪93人，起诉盗窃、诈骗等多发性侵财犯罪72人，全力营造安全稳定的社会环境。严惩不收敛、不收手腐败行为，起诉贪污受贿等职务犯罪5人。防范化解经济金融风险，依法起诉非法吸收公众存款等涉众型经济犯罪4人。</w:t>
      </w:r>
      <w:bookmarkStart w:id="1" w:name="_GoBack"/>
      <w:bookmarkEnd w:id="1"/>
      <w:r>
        <w:rPr>
          <w:rFonts w:hint="eastAsia" w:ascii="仿宋_GB2312" w:hAnsi="仿宋_GB2312" w:eastAsia="仿宋_GB2312" w:cs="仿宋_GB2312"/>
          <w:color w:val="000000"/>
          <w:sz w:val="32"/>
        </w:rPr>
        <w:t>检察官服务站入驻企业法律之家，送法进企业12次，与企业面对面座谈3次，为企业持续健康发展提供优质检察服务。发挥侦查监督协作办公室作用，监督立案、撤案22件，纠正漏捕漏诉16人，不批准逮捕22件41人，不起诉39件50人；提前介入引导侦查机关取证33件次，书面纠正侦查活动违法23件次。推进检法良性互动，检察长列席法院审委会会议4次，提出刑事抗诉案件1件，纠正刑事审判活动违法4件。强化刑事执行监督，纠正监管场所违法2件，纠正社区矫正对象脱管2件。认罪认罚从宽制度适用率为88.07%；积极促进量刑建议精准化，确定刑量刑建议占比92.89%，庭审程序进一步简化，办案效率大幅提升。</w:t>
      </w:r>
    </w:p>
    <w:p>
      <w:pPr>
        <w:spacing w:after="0" w:line="142" w:lineRule="exact"/>
      </w:pPr>
    </w:p>
    <w:p>
      <w:pPr>
        <w:spacing w:before="40" w:after="40" w:line="520" w:lineRule="exact"/>
        <w:ind w:left="153" w:right="3214"/>
        <w:jc w:val="left"/>
        <w:rPr>
          <w:rFonts w:hint="eastAsia" w:ascii="黑体" w:hAnsi="黑体" w:eastAsia="黑体" w:cs="黑体"/>
          <w:color w:val="000000"/>
          <w:sz w:val="32"/>
        </w:rPr>
      </w:pPr>
      <w:r>
        <w:rPr>
          <w:rFonts w:hint="eastAsia" w:ascii="黑体" w:hAnsi="黑体" w:eastAsia="黑体" w:cs="黑体"/>
          <w:color w:val="000000"/>
          <w:sz w:val="32"/>
        </w:rPr>
        <w:t>五、部门整体支出绩效管理情况</w:t>
      </w:r>
    </w:p>
    <w:p>
      <w:pPr>
        <w:spacing w:after="0" w:line="28" w:lineRule="exact"/>
      </w:pPr>
    </w:p>
    <w:p>
      <w:pPr>
        <w:spacing w:before="40" w:after="40" w:line="520" w:lineRule="exact"/>
        <w:ind w:left="606" w:right="3554"/>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（一）部门预算管理情况</w:t>
      </w:r>
    </w:p>
    <w:p>
      <w:pPr>
        <w:spacing w:after="0" w:line="29" w:lineRule="exact"/>
      </w:pPr>
    </w:p>
    <w:p>
      <w:pPr>
        <w:spacing w:before="40" w:after="40" w:line="520" w:lineRule="exact"/>
        <w:ind w:left="1514" w:right="21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1-1-1.编制完整：</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分值：3.00分，自评得分：3.00分；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计算过程和评定依据：2023年我院将财政拨款收入全部纳入部门综合预算管理，得3分。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1-1-2.目标制定：</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分值：5.00分，自评得分：5.00分；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计算过程和评定依据：2023你那我院绩效目标编制要素完整，绩效完成指标细化量化，得5分。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1-1-3.编制准确：</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分值：5.00分，自评得分：4.15分；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计算过程和评定依据：2023年我院全年预算1233.3万元，调剂金额209.62万元，指标得分=（1-209.62/1233.3）*5=4.15，自评得分4.15分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1-2-1.支出规范：</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分值：5.00分，自评得分：5.00分；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严格贯彻落实预算执行管理，无违规发放工资、奖金、津贴的情况，所有开支均有预算，无超预算，超标准开支的情形；分配专项资金严格履行集体决策程序并按程序报批，自评得分5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1-2-2.支出控制：</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分值：5.00分，自评得分：5.00分；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日常公用经费及非定额公用经费，部门决算项目支出中的“办公费、印刷费、水费、电费、物业管理费”等科目年初预算数为131.46万元，年末决算数为122.79万元，年初预算与决算偏离度为7%，在10%以内，得5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1-2-3.动态调整：</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分值：5.00分，自评得分：4.82分；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计算过程和评定依据：2023年我院预算收回额度为45.49万元，全年预算总额1233.3万元，指标得分：（1-45.49/1233.3）*5=4.82，自评得分4.82分。</w:t>
      </w:r>
    </w:p>
    <w:p>
      <w:pPr>
        <w:spacing w:after="0" w:line="28" w:lineRule="exact"/>
      </w:pPr>
    </w:p>
    <w:p>
      <w:pPr>
        <w:spacing w:before="40" w:after="40" w:line="520" w:lineRule="exact"/>
        <w:ind w:left="606" w:right="3554"/>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（二）综合管理情况</w:t>
      </w:r>
    </w:p>
    <w:p>
      <w:pPr>
        <w:spacing w:after="0" w:line="29" w:lineRule="exact"/>
      </w:pPr>
    </w:p>
    <w:p>
      <w:pPr>
        <w:spacing w:before="40" w:after="40" w:line="520" w:lineRule="exact"/>
        <w:ind w:left="1510" w:right="21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2-2-1.政策执行：</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分值：2.00分，自评得分：2.00分；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计算过程和评定依据：2023年我院没有未按规定的非税收入项目及标准执收非税收入，未出现违反规定缓减免非税收入的情况，自评得分2分。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2-2-2.及时更新：</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分值：2.00分，自评得分：2.00分；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计算过程和评定依据：本单位未涉及该指标</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2-2-3.收入解缴：</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分值：4.00分，自评得分：0.82分；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计算过程和评定依据：2023年我院非税收入有一笔牛肉案赔偿金由于案件数量多，金额大，需梳理核对， 超过5个工作日，扣0.2分，其余均按时上缴，自评得分0.8分；牛肉案赔偿金已在2024年上缴，计算得分：（91054.22/5243794.48）*1=0.02，自评得分0.02分，合计得分0.82分。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2-3-1.预算管理：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分值：4.00分，自评得分：4.00分；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计算过程和评定依据：2023年我院将应纳入政府采购的事项均编制了政府采购预算，未发生无预算、超预算的情况，自评得分4分。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2-3-2.采购实施：</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分值：4.00分，自评得分：4.00分；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计算过程和评定依据：2023年我院两个政府采购项目采购方式、程序均合规，未存在拆分项目预算规避政府采购或公开招标的情形；两个项目均在规定的时间完成采购计划申报，自评得分4分。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2-4-1.配置使用：</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分值：4.00分，自评得分：4.00分；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计算过程和评定依据：2023年我院新增资产按规定编制配置预算，新增资产做到了及时准确入账，并将国有资产纳入四川省行政事业单位资产管理系统动态管理，自评的分4分。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2-4-2.收益核算：</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分值：2.00分，自评得分：2.00分；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计算过程和评定依据：2023年我院无处置固定资产、对外出租出借、对外投资的情况，自评得分2分。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2-5-1.制度建设：</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分值：2.00分，自评得分：2.00分；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我院内控制度涵盖了“预算业务”、“收支业务”、“政府采购业务”、“资产管理”、“建设项目”等主要经济业务，并根据财经法规及实际工作需要及时更新完善内控制度，自评得分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2-5-2.制度执行：</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分值：2.00分，自评得分：2.00分；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我院严格按照“分事分全、分岗设权，分级授权”要求落实不相容岗位分离，并制定了《关键岗位轮岗制度制度》，建立重大事项议事决策机制，编制了《梓潼县人民检察院三重一大决策制度》，得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2-6-1.预算编制执行：</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分值：4.00分，自评得分：4.00分；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三公经费175372.37元，2022年三公经费175466.91元，实现了“零增长”，得1分；2023年三公经费预算数180000万元，决算数175372.37元，未突破，得2分；我院严格按照规定使用三公经费，得1分，合计自评得4分。</w:t>
      </w:r>
    </w:p>
    <w:p>
      <w:pPr>
        <w:spacing w:after="0" w:line="28" w:lineRule="exact"/>
      </w:pPr>
    </w:p>
    <w:p>
      <w:pPr>
        <w:spacing w:before="40" w:after="40" w:line="520" w:lineRule="exact"/>
        <w:ind w:left="606" w:right="3554"/>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（三）绩效结果应用情况</w:t>
      </w:r>
    </w:p>
    <w:p>
      <w:pPr>
        <w:spacing w:after="0" w:line="29" w:lineRule="exact"/>
      </w:pPr>
    </w:p>
    <w:p>
      <w:pPr>
        <w:spacing w:before="40" w:after="40" w:line="520" w:lineRule="exact"/>
        <w:ind w:left="1510" w:right="18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3-1-1.预算公开：</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分值：2.00分，自评得分：2.00分；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计算过程和评定依据：2023年我院按要求随同部门预算公开,自评得分2分。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3-1-2.决算公开：</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分值：2.00分，自评得分：2.00分；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计算过程和评定依据：2023年我院按要求随同部门决算公开，自评得分2分。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3-2-1.结果整改：</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分值：2.00分，自评得分：2.00分；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计算过程和评定依据：2023年我院针对绩效管理过程中提出的问题已进行整改，自评得分2分。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3-2-2.应用反馈：</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分值：2.00分，自评得分：2.00分；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计算过程和评定依据：在规定时间内及时向财政部门报送整改情况，自评得分2分。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3-2-3.违规记录：</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分值：2.00分，自评得分：2.00分；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计算过程和评定依据：依据上一年巡视、审计、财会监督检查结果，我院未存在预算管理、财务收支等方面违规违纪的问题，自评得分2分。</w:t>
      </w:r>
    </w:p>
    <w:p>
      <w:pPr>
        <w:spacing w:after="0" w:line="5" w:lineRule="exact"/>
      </w:pPr>
    </w:p>
    <w:p>
      <w:pPr>
        <w:spacing w:before="40" w:after="40" w:line="520" w:lineRule="exact"/>
        <w:ind w:left="610" w:right="3551"/>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（四）预算绩效情况</w:t>
      </w:r>
    </w:p>
    <w:p>
      <w:pPr>
        <w:spacing w:after="0" w:line="25" w:lineRule="exact"/>
      </w:pPr>
    </w:p>
    <w:p>
      <w:pPr>
        <w:spacing w:before="40" w:after="40" w:line="520" w:lineRule="exact"/>
        <w:ind w:left="1510" w:right="18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4-1-1.数量质量指标：</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分值：10.00分，自评得分：10.00分；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计算过程和评定依据：我院在一定时期内实际完成达到了部门绩效目标要求的工作任务数量，自评得分10分。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4-1-2.时效指标：</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分值：2.00分，自评得分：2.00分；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计算过程和评定依据：2023年我院所有部门工作任务均按计划时间完成，自评得分2分。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4-1-3.成本指标：</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分值：10.00分，自评得分：9.72分；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计算过程和评定依据：2023年我院预算项目支出在6月达到49.76%，得分1.99分，9月达到77.26%，得3分；11月达到84.17%，得1.84分；12月达到96.31%，得2.89分，合计自评得分7.78分。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4-2-1.社会效益、经济效益、生态效益及可持续性影响：</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分值：6.00分，自评得分：6.00分；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计算过程和评定依据：根据社会效益、经济效益、生态效益及可持续影响，自评得分6分。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4-3-1.公众或服务对象满意度：</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分值：4.00分，自评得分：4.00分；</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计算过程和评定依据：服务对象满意度达到95%，自评得分4分。</w:t>
      </w:r>
    </w:p>
    <w:p>
      <w:pPr>
        <w:spacing w:after="0" w:line="55" w:lineRule="exact"/>
      </w:pPr>
    </w:p>
    <w:p>
      <w:pPr>
        <w:spacing w:before="40" w:after="40" w:line="520" w:lineRule="exact"/>
        <w:ind w:left="153" w:right="4802"/>
        <w:jc w:val="left"/>
        <w:rPr>
          <w:rFonts w:hint="eastAsia" w:ascii="黑体" w:hAnsi="黑体" w:eastAsia="黑体" w:cs="黑体"/>
          <w:color w:val="000000"/>
          <w:sz w:val="32"/>
        </w:rPr>
      </w:pPr>
      <w:r>
        <w:rPr>
          <w:rFonts w:hint="eastAsia" w:ascii="黑体" w:hAnsi="黑体" w:eastAsia="黑体" w:cs="黑体"/>
          <w:color w:val="000000"/>
          <w:sz w:val="32"/>
        </w:rPr>
        <w:t>五、评价结论及建议</w:t>
      </w:r>
    </w:p>
    <w:p>
      <w:pPr>
        <w:spacing w:after="0" w:line="28" w:lineRule="exact"/>
      </w:pPr>
    </w:p>
    <w:p>
      <w:pPr>
        <w:spacing w:before="40" w:after="40" w:line="520" w:lineRule="exact"/>
        <w:ind w:left="606" w:right="3554"/>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（一）评价结论</w:t>
      </w:r>
    </w:p>
    <w:p>
      <w:pPr>
        <w:spacing w:before="40" w:after="40" w:line="520" w:lineRule="exact"/>
        <w:ind w:left="265" w:right="15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2023年我院在市财政局的业务指导下，按照《2023年市本级部门整体支出绩效评价指标体系》设定的绩效指标和计分标准，2023年部门整体支出绩效评价得分为：95.51分</w:t>
      </w:r>
    </w:p>
    <w:p>
      <w:pPr>
        <w:spacing w:before="40" w:after="40" w:line="520" w:lineRule="exact"/>
        <w:ind w:left="310" w:right="110"/>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根据本部门收支情况、预算执行情况、部门履职效益分析及整体绩效管理情况综合自评得分为95.51，自评等次为：优秀。</w:t>
      </w:r>
    </w:p>
    <w:p>
      <w:pPr>
        <w:spacing w:before="40" w:after="40" w:line="520" w:lineRule="exact"/>
        <w:ind w:left="606" w:right="529"/>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（二）预算绩效管理工作主要经验和做法</w:t>
      </w:r>
    </w:p>
    <w:p>
      <w:pPr>
        <w:spacing w:before="40" w:after="40" w:line="520" w:lineRule="exact"/>
        <w:ind w:left="265" w:right="15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一是进一步加强了预算绩效目标的管理，完成预算绩效目标编制、绩效目标审核、预算绩效目标的调整与应用等工作，提高预算编制的科学性、合理性和规范性，提高财政资金使用效益。二是加强预算执行及绩效进度及效果跟踪监控。三是对专项资金实施绩效自评和项目核查，在此基础上形成自评报告积极开展财政政策绩效评价。四是将预算绩效管理工作纳入单位绩效年度考评，健全绩效管理工作机制，明确职责分工，努力提高了绩效管理工作水平。</w:t>
      </w:r>
    </w:p>
    <w:p>
      <w:pPr>
        <w:spacing w:after="0" w:line="28" w:lineRule="exact"/>
      </w:pPr>
    </w:p>
    <w:p>
      <w:pPr>
        <w:spacing w:before="40" w:after="40" w:line="520" w:lineRule="exact"/>
        <w:ind w:left="606" w:right="3554"/>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（三）存在问题</w:t>
      </w:r>
    </w:p>
    <w:p>
      <w:pPr>
        <w:spacing w:after="0" w:line="28" w:lineRule="exact"/>
      </w:pPr>
    </w:p>
    <w:p>
      <w:pPr>
        <w:spacing w:before="40" w:after="40" w:line="520" w:lineRule="exact"/>
        <w:ind w:left="265" w:right="15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1、绩效评价机制不健全。目前，我院预算绩效评价主要采用自行评价的形式，没有社会公众参与评价，最终评价结果的质量也难得到保证，无法及时有效的发现问题。</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2、预算绩效管理观念不深入。对于全面实施预算绩效管理，未形成全面、深入的认识，对绩效管理工作的重视还有待提高。</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3、项目预算支出进度较慢，</w:t>
      </w:r>
      <w:r>
        <w:rPr>
          <w:rFonts w:hint="eastAsia" w:ascii="仿宋_GB2312" w:hAnsi="仿宋_GB2312" w:eastAsia="仿宋_GB2312" w:cs="仿宋_GB2312"/>
          <w:color w:val="000000"/>
          <w:sz w:val="32"/>
          <w:lang w:eastAsia="zh-CN"/>
        </w:rPr>
        <w:t>未</w:t>
      </w:r>
      <w:r>
        <w:rPr>
          <w:rFonts w:hint="eastAsia" w:ascii="仿宋_GB2312" w:hAnsi="仿宋_GB2312" w:eastAsia="仿宋_GB2312" w:cs="仿宋_GB2312"/>
          <w:color w:val="000000"/>
          <w:sz w:val="32"/>
        </w:rPr>
        <w:t>达到序时进度要求，</w:t>
      </w:r>
    </w:p>
    <w:p>
      <w:pPr>
        <w:spacing w:after="0" w:line="28" w:lineRule="exact"/>
      </w:pPr>
    </w:p>
    <w:p>
      <w:pPr>
        <w:spacing w:before="40" w:after="40" w:line="520" w:lineRule="exact"/>
        <w:ind w:left="606" w:right="3554"/>
        <w:jc w:val="left"/>
        <w:rPr>
          <w:rFonts w:hint="eastAsia" w:ascii="楷体_GB2312" w:hAnsi="楷体_GB2312" w:eastAsia="楷体_GB2312" w:cs="楷体_GB2312"/>
          <w:b/>
          <w:color w:val="000000"/>
          <w:sz w:val="32"/>
        </w:rPr>
      </w:pPr>
      <w:r>
        <w:rPr>
          <w:rFonts w:hint="eastAsia" w:ascii="楷体_GB2312" w:hAnsi="楷体_GB2312" w:eastAsia="楷体_GB2312" w:cs="楷体_GB2312"/>
          <w:b/>
          <w:color w:val="000000"/>
          <w:sz w:val="32"/>
        </w:rPr>
        <w:t>（四）改进建议</w:t>
      </w:r>
    </w:p>
    <w:p>
      <w:pPr>
        <w:spacing w:after="0" w:line="28" w:lineRule="exact"/>
      </w:pPr>
    </w:p>
    <w:p>
      <w:pPr>
        <w:spacing w:before="40" w:after="40" w:line="520" w:lineRule="exact"/>
        <w:ind w:left="265" w:right="15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1、积极邀请第三方预算绩效管理专家对各部门负责人进行专项培训，帮助梳理各部门职能，细化各部门工作任务及年度目标，确定涵盖业务范围广、考核业务针对性强的绩效管理目标；</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2、进一步加强预算绩效管理工作，加强预算绩效管理的制度建设，落实专人开展对部门预算、政策预算和项目预算的预算绩效管理工作，包括预算绩效评估、绩效目标管理、绩效运行监控和支出绩效评价等各环节预算绩效结果的应用</w:t>
      </w:r>
      <w:r>
        <w:rPr>
          <w:rFonts w:hint="eastAsia" w:ascii="仿宋_GB2312" w:hAnsi="仿宋_GB2312" w:eastAsia="仿宋_GB2312" w:cs="仿宋_GB2312"/>
          <w:color w:val="000000"/>
          <w:sz w:val="32"/>
        </w:rPr>
        <w:br w:type="textWrapping"/>
      </w:r>
      <w:r>
        <w:rPr>
          <w:rFonts w:hint="eastAsia" w:ascii="仿宋_GB2312" w:hAnsi="仿宋_GB2312" w:eastAsia="仿宋_GB2312" w:cs="仿宋_GB2312"/>
          <w:color w:val="000000"/>
          <w:sz w:val="32"/>
        </w:rPr>
        <w:t>3、加强对绩效管理人员和业务部门干警绩效知识培训，强化绩效意识，提前谋划，加快项目执行进度。</w:t>
      </w:r>
    </w:p>
    <w:p>
      <w:pPr>
        <w:spacing w:after="0" w:line="255" w:lineRule="exact"/>
      </w:pPr>
    </w:p>
    <w:p>
      <w:pPr>
        <w:spacing w:before="40" w:after="40" w:line="480" w:lineRule="exact"/>
        <w:ind w:left="99" w:right="175"/>
        <w:jc w:val="left"/>
        <w:rPr>
          <w:rFonts w:hint="eastAsia" w:ascii="华文仿宋" w:hAnsi="华文仿宋" w:eastAsia="华文仿宋" w:cs="华文仿宋"/>
          <w:b/>
          <w:color w:val="000000"/>
          <w:sz w:val="28"/>
        </w:rPr>
      </w:pPr>
      <w:r>
        <w:rPr>
          <w:rFonts w:hint="eastAsia" w:ascii="华文仿宋" w:hAnsi="华文仿宋" w:eastAsia="华文仿宋" w:cs="华文仿宋"/>
          <w:b/>
          <w:color w:val="000000"/>
          <w:sz w:val="28"/>
        </w:rPr>
        <w:t>附表：2023年度梓潼县人民检察院本级部门部门整体支出绩效评价得分明细表</w:t>
      </w:r>
    </w:p>
    <w:p>
      <w:pPr>
        <w:spacing w:after="0" w:line="142" w:lineRule="exact"/>
      </w:pPr>
    </w:p>
    <w:p>
      <w:r>
        <w:br w:type="page"/>
      </w:r>
    </w:p>
    <w:tbl>
      <w:tblPr>
        <w:tblStyle w:val="2"/>
        <w:tblW w:w="8729" w:type="dxa"/>
        <w:tblInd w:w="0" w:type="dxa"/>
        <w:tblLayout w:type="fixed"/>
        <w:tblCellMar>
          <w:top w:w="0" w:type="dxa"/>
          <w:left w:w="0" w:type="dxa"/>
          <w:bottom w:w="0" w:type="dxa"/>
          <w:right w:w="0" w:type="dxa"/>
        </w:tblCellMar>
      </w:tblPr>
      <w:tblGrid>
        <w:gridCol w:w="1020"/>
        <w:gridCol w:w="1133"/>
        <w:gridCol w:w="1700"/>
        <w:gridCol w:w="679"/>
        <w:gridCol w:w="679"/>
        <w:gridCol w:w="907"/>
        <w:gridCol w:w="2607"/>
      </w:tblGrid>
      <w:tr>
        <w:tblPrEx>
          <w:tblCellMar>
            <w:top w:w="0" w:type="dxa"/>
            <w:left w:w="0" w:type="dxa"/>
            <w:bottom w:w="0" w:type="dxa"/>
            <w:right w:w="0" w:type="dxa"/>
          </w:tblCellMar>
        </w:tblPrEx>
        <w:trPr>
          <w:trHeight w:val="453" w:hRule="atLeast"/>
        </w:trPr>
        <w:tc>
          <w:tcPr>
            <w:tcW w:w="8729" w:type="dxa"/>
            <w:gridSpan w:val="7"/>
            <w:vAlign w:val="top"/>
          </w:tcPr>
          <w:p>
            <w:pPr>
              <w:spacing w:before="40" w:after="40"/>
              <w:ind w:left="40" w:right="40"/>
              <w:jc w:val="left"/>
              <w:rPr>
                <w:rFonts w:hint="eastAsia" w:ascii="华文仿宋" w:hAnsi="华文仿宋" w:eastAsia="华文仿宋" w:cs="华文仿宋"/>
                <w:b/>
                <w:color w:val="000000"/>
                <w:sz w:val="22"/>
              </w:rPr>
            </w:pPr>
            <w:r>
              <w:rPr>
                <w:rFonts w:hint="eastAsia" w:ascii="华文仿宋" w:hAnsi="华文仿宋" w:eastAsia="华文仿宋" w:cs="华文仿宋"/>
                <w:b/>
                <w:color w:val="000000"/>
                <w:sz w:val="22"/>
              </w:rPr>
              <w:t>附表：2023年度部门整体支出绩效评价得分明细表</w:t>
            </w:r>
          </w:p>
        </w:tc>
      </w:tr>
      <w:tr>
        <w:tblPrEx>
          <w:tblCellMar>
            <w:top w:w="0" w:type="dxa"/>
            <w:left w:w="0" w:type="dxa"/>
            <w:bottom w:w="0" w:type="dxa"/>
            <w:right w:w="0" w:type="dxa"/>
          </w:tblCellMar>
        </w:tblPrEx>
        <w:trPr>
          <w:trHeight w:val="1019" w:hRule="atLeast"/>
        </w:trPr>
        <w:tc>
          <w:tcPr>
            <w:tcW w:w="8729" w:type="dxa"/>
            <w:gridSpan w:val="7"/>
            <w:vAlign w:val="top"/>
          </w:tcPr>
          <w:p>
            <w:pPr>
              <w:spacing w:before="40" w:after="40"/>
              <w:ind w:left="40" w:right="40"/>
              <w:jc w:val="center"/>
              <w:rPr>
                <w:rFonts w:hint="eastAsia" w:ascii="微软雅黑" w:hAnsi="微软雅黑" w:eastAsia="微软雅黑" w:cs="微软雅黑"/>
                <w:color w:val="000000"/>
                <w:sz w:val="36"/>
              </w:rPr>
            </w:pPr>
            <w:r>
              <w:rPr>
                <w:rFonts w:hint="eastAsia" w:ascii="微软雅黑" w:hAnsi="微软雅黑" w:eastAsia="微软雅黑" w:cs="微软雅黑"/>
                <w:color w:val="000000"/>
                <w:sz w:val="36"/>
              </w:rPr>
              <w:t>2023年度部门整体支出绩效评价得分明细表</w:t>
            </w:r>
          </w:p>
        </w:tc>
      </w:tr>
      <w:tr>
        <w:tblPrEx>
          <w:tblCellMar>
            <w:top w:w="0" w:type="dxa"/>
            <w:left w:w="0" w:type="dxa"/>
            <w:bottom w:w="0" w:type="dxa"/>
            <w:right w:w="0" w:type="dxa"/>
          </w:tblCellMar>
        </w:tblPrEx>
        <w:trPr>
          <w:trHeight w:val="425" w:hRule="atLeast"/>
        </w:trPr>
        <w:tc>
          <w:tcPr>
            <w:tcW w:w="5214" w:type="dxa"/>
            <w:gridSpan w:val="5"/>
            <w:vAlign w:val="top"/>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填表人：王晓雪</w:t>
            </w:r>
          </w:p>
        </w:tc>
        <w:tc>
          <w:tcPr>
            <w:tcW w:w="3514" w:type="dxa"/>
            <w:gridSpan w:val="2"/>
            <w:vAlign w:val="top"/>
          </w:tcPr>
          <w:p>
            <w:pPr>
              <w:spacing w:before="40" w:after="40"/>
              <w:ind w:left="40" w:right="40"/>
              <w:jc w:val="righ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打印日期：2024/6/7 9:10:52</w:t>
            </w:r>
          </w:p>
        </w:tc>
      </w:tr>
      <w:tr>
        <w:tblPrEx>
          <w:tblCellMar>
            <w:top w:w="0" w:type="dxa"/>
            <w:left w:w="0" w:type="dxa"/>
            <w:bottom w:w="0" w:type="dxa"/>
            <w:right w:w="0" w:type="dxa"/>
          </w:tblCellMar>
        </w:tblPrEx>
        <w:trPr>
          <w:trHeight w:val="680" w:hRule="atLeast"/>
        </w:trPr>
        <w:tc>
          <w:tcPr>
            <w:tcW w:w="102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一级指标</w:t>
            </w:r>
          </w:p>
        </w:tc>
        <w:tc>
          <w:tcPr>
            <w:tcW w:w="113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二级指标</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三级指标</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是否涉及</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自评分数</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评定依据及说明</w:t>
            </w:r>
          </w:p>
        </w:tc>
      </w:tr>
      <w:tr>
        <w:tblPrEx>
          <w:tblCellMar>
            <w:top w:w="0" w:type="dxa"/>
            <w:left w:w="0" w:type="dxa"/>
            <w:bottom w:w="0" w:type="dxa"/>
            <w:right w:w="0" w:type="dxa"/>
          </w:tblCellMar>
        </w:tblPrEx>
        <w:trPr>
          <w:trHeight w:val="453" w:hRule="atLeast"/>
        </w:trPr>
        <w:tc>
          <w:tcPr>
            <w:tcW w:w="5214"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合计：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95.51</w:t>
            </w:r>
          </w:p>
        </w:tc>
        <w:tc>
          <w:tcPr>
            <w:tcW w:w="2607" w:type="dxa"/>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Arial" w:hAnsi="Arial" w:eastAsia="Arial" w:cs="Arial"/>
                <w:color w:val="000000"/>
                <w:sz w:val="20"/>
              </w:rPr>
            </w:pPr>
          </w:p>
        </w:tc>
      </w:tr>
      <w:tr>
        <w:tblPrEx>
          <w:tblCellMar>
            <w:top w:w="0" w:type="dxa"/>
            <w:left w:w="0" w:type="dxa"/>
            <w:bottom w:w="0" w:type="dxa"/>
            <w:right w:w="0" w:type="dxa"/>
          </w:tblCellMar>
        </w:tblPrEx>
        <w:trPr>
          <w:trHeight w:val="425" w:hRule="atLeast"/>
        </w:trPr>
        <w:tc>
          <w:tcPr>
            <w:tcW w:w="102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部门预算管理</w:t>
            </w:r>
          </w:p>
        </w:tc>
        <w:tc>
          <w:tcPr>
            <w:tcW w:w="1133"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预算编制</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编制完整</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3.00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3.00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2023年我院将财政拨款收入全部纳入部门综合预算管理，得3分。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目标制定</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5.00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5.00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2023你那我院绩效目标编制要素完整，绩效完成指标细化量化，得5分。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编制准确</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5.00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4.15</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2023年我院全年预算1233.3万元，调剂金额209.62万元，指标得分=（1-209.62/1233.3）*5=4.15，自评得分4.15分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预算执行</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支出规范</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5.00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5.00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2023年我院严格贯彻落实预算执行管理，无违规发放工资、奖金、津贴的情况，所有开支均有预算，无超预算，超标准开支的情形；分配专项资金严格履行集体决策程序并按程序报批，自评得分5分。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支出控制</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5.00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5.00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日常公用经费及非定额公用经费，部门决算项目支出中的“办公费、印刷费、水费、电费、物业管理费”等科目年初预算数为131.46万元，年末决算数为122.79万元，年初预算与决算偏离度为7%，在10%以内，得5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动态调整</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5.00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4.82</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2023年我院预算收回额度为45.49万元，全年预算总额1233.3万元，指标得分：（1-45.49/1233.3）*5=4.82，自评得分4.82分。</w:t>
            </w:r>
          </w:p>
        </w:tc>
      </w:tr>
      <w:tr>
        <w:tblPrEx>
          <w:tblCellMar>
            <w:top w:w="0" w:type="dxa"/>
            <w:left w:w="0" w:type="dxa"/>
            <w:bottom w:w="0" w:type="dxa"/>
            <w:right w:w="0" w:type="dxa"/>
          </w:tblCellMar>
        </w:tblPrEx>
        <w:trPr>
          <w:trHeight w:val="425" w:hRule="atLeast"/>
        </w:trPr>
        <w:tc>
          <w:tcPr>
            <w:tcW w:w="102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综合管理</w:t>
            </w:r>
          </w:p>
        </w:tc>
        <w:tc>
          <w:tcPr>
            <w:tcW w:w="1133"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非税收入管理</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政策执行</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2023年我院没有未按规定的非税收入项目及标准执收非税收入，未出现违反规定缓减免非税收入的情况，自评得分2分。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及时更新</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本单位未涉及该指标</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收入解缴</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0.82</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2023年我院非税收入有一笔牛肉案赔偿金由于案件数量多，金额大，需梳理核对， 超过5个工作日，扣0.2分，其余均按时上缴，自评得分0.8分；牛肉案赔偿金已在2024年上缴，计算得分：（91054.22/5243794.48）*1=0.02，自评得分0.02分，合计得分0.82分。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政府采购管理</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预算管理</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2023年我院将应纳入政府采购的事项均编制了政府采购预算，未发生无预算、超预算的情况，自评得分4分。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采购实施</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2023年我院两个政府采购项目采购方式、程序均合规，未存在拆分项目预算规避政府采购或公开招标的情形；两个项目均在规定的时间完成采购计划申报，自评得分4分。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资产管理</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配置使用</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2023年我院新增资产按规定编制配置预算，新增资产做到了及时准确入账，并将国有资产纳入四川省行政事业单位资产管理系统动态管理，自评的分4分。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收益核算</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2023年我院无处置固定资产、对外出租出借、对外投资的情况，自评得分2分。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内控制度管理</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制度建设</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我院内控制度涵盖了“预算业务”、“收支业务”、“政府采购业务”、“资产管理”、“建设项目”等主要经济业务，并根据财经法规及实际工作需要及时更新完善内控制度，自评得分2分。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制度执行</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我院严格按照“分事分全、分岗设权，分级授权”要求落实不相容岗位分离，并制定了《关键岗位轮岗制度制度》，建立重大事项议事决策机制，编制了《梓潼县人民检察院三重一大决策制度》，得2分。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三公经费管理</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预算编制执行</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2023年三公经费175372.37元，2022年三公经费175466.91元，实现了“零增长”，得1分；2023年三公经费预算数180000万元，决算数175372.37元，未突破，得2分；我院严格按照规定使用三公经费，得1分，合计自评得4分。</w:t>
            </w:r>
          </w:p>
        </w:tc>
      </w:tr>
      <w:tr>
        <w:tblPrEx>
          <w:tblCellMar>
            <w:top w:w="0" w:type="dxa"/>
            <w:left w:w="0" w:type="dxa"/>
            <w:bottom w:w="0" w:type="dxa"/>
            <w:right w:w="0" w:type="dxa"/>
          </w:tblCellMar>
        </w:tblPrEx>
        <w:trPr>
          <w:trHeight w:val="425" w:hRule="atLeast"/>
        </w:trPr>
        <w:tc>
          <w:tcPr>
            <w:tcW w:w="102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绩效结果应用</w:t>
            </w:r>
          </w:p>
        </w:tc>
        <w:tc>
          <w:tcPr>
            <w:tcW w:w="1133"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信息公开</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预算公开</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2023年我院按要求随同部门预算公开,自评得分2分。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决算公开</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2023年我院按要求随同部门决算公开，自评得分2分。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整改反馈</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结果整改</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2023年我院针对绩效管理过程中提出的问题已进行整改，自评得分2分。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应用反馈</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在规定时间内及时向财政部门报送整改情况，自评得分2分。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违规记录</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依据上一年巡视、审计、财会监督检查结果，我院未存在预算管理、财务收支等方面违规违纪的问题，自评得分2分。</w:t>
            </w:r>
          </w:p>
        </w:tc>
      </w:tr>
      <w:tr>
        <w:tblPrEx>
          <w:tblCellMar>
            <w:top w:w="0" w:type="dxa"/>
            <w:left w:w="0" w:type="dxa"/>
            <w:bottom w:w="0" w:type="dxa"/>
            <w:right w:w="0" w:type="dxa"/>
          </w:tblCellMar>
        </w:tblPrEx>
        <w:trPr>
          <w:trHeight w:val="425" w:hRule="atLeast"/>
        </w:trPr>
        <w:tc>
          <w:tcPr>
            <w:tcW w:w="102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预算绩效</w:t>
            </w:r>
          </w:p>
        </w:tc>
        <w:tc>
          <w:tcPr>
            <w:tcW w:w="1133"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产出指标完成</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数量质量指标</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10.00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我院在一定时期内实际完成达到了部门绩效目标要求的工作任务数量，自评得分10分。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时效指标</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2023年我院所有部门工作任务均按计划时间完成，自评得分2分。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成本指标</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9.72</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2023年我院预算项目支出在6月达到49.76%，得分1.99分，9月达到77.26%，得3分；11月达到84.17%，得1.84分；12月达到96.31%，得2.89分，合计自评得分7.78分。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效益指标完成</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社会效益、经济效益、生态效益及可持续性影响</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6.00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6.00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根据社会效益、经济效益、生态效益及可持续影响，自评得分6分。</w:t>
            </w:r>
          </w:p>
        </w:tc>
      </w:tr>
      <w:tr>
        <w:tblPrEx>
          <w:tblCellMar>
            <w:top w:w="0" w:type="dxa"/>
            <w:left w:w="0" w:type="dxa"/>
            <w:bottom w:w="0" w:type="dxa"/>
            <w:right w:w="0" w:type="dxa"/>
          </w:tblCellMar>
        </w:tblPrEx>
        <w:trPr>
          <w:trHeight w:val="425" w:hRule="atLeast"/>
        </w:trPr>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3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满意度绩效</w:t>
            </w:r>
          </w:p>
        </w:tc>
        <w:tc>
          <w:tcPr>
            <w:tcW w:w="170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公众或服务对象满意度</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是</w:t>
            </w:r>
          </w:p>
        </w:tc>
        <w:tc>
          <w:tcPr>
            <w:tcW w:w="67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4.00</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服务对象满意度达到95%，自评得分4分。</w:t>
            </w:r>
          </w:p>
        </w:tc>
      </w:tr>
      <w:tr>
        <w:tblPrEx>
          <w:tblCellMar>
            <w:top w:w="0" w:type="dxa"/>
            <w:left w:w="0" w:type="dxa"/>
            <w:bottom w:w="0" w:type="dxa"/>
            <w:right w:w="0" w:type="dxa"/>
          </w:tblCellMar>
        </w:tblPrEx>
        <w:trPr>
          <w:trHeight w:val="453" w:hRule="atLeast"/>
        </w:trPr>
        <w:tc>
          <w:tcPr>
            <w:tcW w:w="8729" w:type="dxa"/>
            <w:gridSpan w:val="7"/>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根据自评得分情况，剔除本部门不涉及指标，折算前得分：95.51分，折算后实际得分：95.51分。</w:t>
            </w:r>
          </w:p>
        </w:tc>
      </w:tr>
      <w:tr>
        <w:tblPrEx>
          <w:tblCellMar>
            <w:top w:w="0" w:type="dxa"/>
            <w:left w:w="0" w:type="dxa"/>
            <w:bottom w:w="0" w:type="dxa"/>
            <w:right w:w="0" w:type="dxa"/>
          </w:tblCellMar>
        </w:tblPrEx>
        <w:trPr>
          <w:trHeight w:val="1134" w:hRule="atLeast"/>
        </w:trPr>
        <w:tc>
          <w:tcPr>
            <w:tcW w:w="2153"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评价等次</w:t>
            </w:r>
          </w:p>
        </w:tc>
        <w:tc>
          <w:tcPr>
            <w:tcW w:w="3967"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（得分≥90，优；90＞得分≥80，良；
</w:t>
            </w:r>
            <w:r>
              <w:rPr>
                <w:rFonts w:hint="eastAsia" w:ascii="微软雅黑" w:hAnsi="微软雅黑" w:eastAsia="微软雅黑" w:cs="微软雅黑"/>
                <w:color w:val="000000"/>
                <w:sz w:val="20"/>
              </w:rPr>
              <w:br w:type="textWrapping"/>
            </w:r>
            <w:r>
              <w:rPr>
                <w:rFonts w:hint="eastAsia" w:ascii="微软雅黑" w:hAnsi="微软雅黑" w:eastAsia="微软雅黑" w:cs="微软雅黑"/>
                <w:color w:val="000000"/>
                <w:sz w:val="20"/>
              </w:rPr>
              <w:t>80＞得分≥60，中；得分＜60，差)</w:t>
            </w:r>
          </w:p>
        </w:tc>
        <w:tc>
          <w:tcPr>
            <w:tcW w:w="26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优秀</w:t>
            </w:r>
          </w:p>
        </w:tc>
      </w:tr>
    </w:tbl>
    <w:p>
      <w:pPr>
        <w:spacing w:after="0" w:line="1" w:lineRule="exact"/>
      </w:pPr>
    </w:p>
    <w:p>
      <w:r>
        <w:br w:type="page"/>
      </w:r>
    </w:p>
    <w:p>
      <w:pPr>
        <w:spacing w:after="0" w:line="56" w:lineRule="exact"/>
      </w:pPr>
    </w:p>
    <w:tbl>
      <w:tblPr>
        <w:tblStyle w:val="2"/>
        <w:tblW w:w="8730" w:type="dxa"/>
        <w:tblInd w:w="0" w:type="dxa"/>
        <w:tblLayout w:type="fixed"/>
        <w:tblCellMar>
          <w:top w:w="0" w:type="dxa"/>
          <w:left w:w="0" w:type="dxa"/>
          <w:bottom w:w="0" w:type="dxa"/>
          <w:right w:w="0" w:type="dxa"/>
        </w:tblCellMar>
      </w:tblPr>
      <w:tblGrid>
        <w:gridCol w:w="2123"/>
        <w:gridCol w:w="1769"/>
        <w:gridCol w:w="3068"/>
        <w:gridCol w:w="1770"/>
      </w:tblGrid>
      <w:tr>
        <w:tblPrEx>
          <w:tblCellMar>
            <w:top w:w="0" w:type="dxa"/>
            <w:left w:w="0" w:type="dxa"/>
            <w:bottom w:w="0" w:type="dxa"/>
            <w:right w:w="0" w:type="dxa"/>
          </w:tblCellMar>
        </w:tblPrEx>
        <w:trPr>
          <w:trHeight w:val="449" w:hRule="atLeast"/>
        </w:trPr>
        <w:tc>
          <w:tcPr>
            <w:tcW w:w="8730"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8"/>
              </w:rPr>
            </w:pPr>
            <w:r>
              <w:rPr>
                <w:rFonts w:hint="eastAsia" w:ascii="微软雅黑" w:hAnsi="微软雅黑" w:eastAsia="微软雅黑" w:cs="微软雅黑"/>
                <w:color w:val="000000"/>
                <w:sz w:val="28"/>
              </w:rPr>
              <w:t>评价组人员</w:t>
            </w:r>
          </w:p>
        </w:tc>
      </w:tr>
      <w:tr>
        <w:tblPrEx>
          <w:tblCellMar>
            <w:top w:w="0" w:type="dxa"/>
            <w:left w:w="0" w:type="dxa"/>
            <w:bottom w:w="0" w:type="dxa"/>
            <w:right w:w="0" w:type="dxa"/>
          </w:tblCellMar>
        </w:tblPrEx>
        <w:trPr>
          <w:trHeight w:val="421" w:hRule="atLeast"/>
        </w:trPr>
        <w:tc>
          <w:tcPr>
            <w:tcW w:w="212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176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职务/职称</w:t>
            </w:r>
          </w:p>
        </w:tc>
        <w:tc>
          <w:tcPr>
            <w:tcW w:w="30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单位</w:t>
            </w:r>
          </w:p>
        </w:tc>
        <w:tc>
          <w:tcPr>
            <w:tcW w:w="177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签字/负责人签字</w:t>
            </w:r>
          </w:p>
        </w:tc>
      </w:tr>
      <w:tr>
        <w:tblPrEx>
          <w:tblCellMar>
            <w:top w:w="0" w:type="dxa"/>
            <w:left w:w="0" w:type="dxa"/>
            <w:bottom w:w="0" w:type="dxa"/>
            <w:right w:w="0" w:type="dxa"/>
          </w:tblCellMar>
        </w:tblPrEx>
        <w:trPr>
          <w:trHeight w:val="421" w:hRule="atLeast"/>
        </w:trPr>
        <w:tc>
          <w:tcPr>
            <w:tcW w:w="212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廖小舟</w:t>
            </w:r>
          </w:p>
        </w:tc>
        <w:tc>
          <w:tcPr>
            <w:tcW w:w="176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党组书记、检察长</w:t>
            </w:r>
          </w:p>
        </w:tc>
        <w:tc>
          <w:tcPr>
            <w:tcW w:w="30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梓潼县人民检察院</w:t>
            </w:r>
          </w:p>
        </w:tc>
        <w:tc>
          <w:tcPr>
            <w:tcW w:w="177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p>
        </w:tc>
      </w:tr>
      <w:tr>
        <w:tblPrEx>
          <w:tblCellMar>
            <w:top w:w="0" w:type="dxa"/>
            <w:left w:w="0" w:type="dxa"/>
            <w:bottom w:w="0" w:type="dxa"/>
            <w:right w:w="0" w:type="dxa"/>
          </w:tblCellMar>
        </w:tblPrEx>
        <w:trPr>
          <w:trHeight w:val="421" w:hRule="atLeast"/>
        </w:trPr>
        <w:tc>
          <w:tcPr>
            <w:tcW w:w="212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祝冠华</w:t>
            </w:r>
          </w:p>
        </w:tc>
        <w:tc>
          <w:tcPr>
            <w:tcW w:w="176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办公室主任</w:t>
            </w:r>
          </w:p>
        </w:tc>
        <w:tc>
          <w:tcPr>
            <w:tcW w:w="30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梓潼县人民检察院</w:t>
            </w:r>
          </w:p>
        </w:tc>
        <w:tc>
          <w:tcPr>
            <w:tcW w:w="177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p>
        </w:tc>
      </w:tr>
      <w:tr>
        <w:tblPrEx>
          <w:tblCellMar>
            <w:top w:w="0" w:type="dxa"/>
            <w:left w:w="0" w:type="dxa"/>
            <w:bottom w:w="0" w:type="dxa"/>
            <w:right w:w="0" w:type="dxa"/>
          </w:tblCellMar>
        </w:tblPrEx>
        <w:trPr>
          <w:trHeight w:val="421" w:hRule="atLeast"/>
        </w:trPr>
        <w:tc>
          <w:tcPr>
            <w:tcW w:w="212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严丹</w:t>
            </w:r>
          </w:p>
        </w:tc>
        <w:tc>
          <w:tcPr>
            <w:tcW w:w="176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办公室工作人员</w:t>
            </w:r>
          </w:p>
        </w:tc>
        <w:tc>
          <w:tcPr>
            <w:tcW w:w="30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梓潼县人民检察院</w:t>
            </w:r>
          </w:p>
        </w:tc>
        <w:tc>
          <w:tcPr>
            <w:tcW w:w="177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p>
        </w:tc>
      </w:tr>
      <w:tr>
        <w:tblPrEx>
          <w:tblCellMar>
            <w:top w:w="0" w:type="dxa"/>
            <w:left w:w="0" w:type="dxa"/>
            <w:bottom w:w="0" w:type="dxa"/>
            <w:right w:w="0" w:type="dxa"/>
          </w:tblCellMar>
        </w:tblPrEx>
        <w:trPr>
          <w:trHeight w:val="421" w:hRule="atLeast"/>
        </w:trPr>
        <w:tc>
          <w:tcPr>
            <w:tcW w:w="212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王晓雪</w:t>
            </w:r>
          </w:p>
        </w:tc>
        <w:tc>
          <w:tcPr>
            <w:tcW w:w="176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办公室工作人员</w:t>
            </w:r>
          </w:p>
        </w:tc>
        <w:tc>
          <w:tcPr>
            <w:tcW w:w="30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梓潼县人民检察院</w:t>
            </w:r>
          </w:p>
        </w:tc>
        <w:tc>
          <w:tcPr>
            <w:tcW w:w="177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p>
        </w:tc>
      </w:tr>
      <w:tr>
        <w:tblPrEx>
          <w:tblCellMar>
            <w:top w:w="0" w:type="dxa"/>
            <w:left w:w="0" w:type="dxa"/>
            <w:bottom w:w="0" w:type="dxa"/>
            <w:right w:w="0" w:type="dxa"/>
          </w:tblCellMar>
        </w:tblPrEx>
        <w:trPr>
          <w:trHeight w:val="421" w:hRule="atLeast"/>
        </w:trPr>
        <w:tc>
          <w:tcPr>
            <w:tcW w:w="212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宋志强</w:t>
            </w:r>
          </w:p>
        </w:tc>
        <w:tc>
          <w:tcPr>
            <w:tcW w:w="1769"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党组副书记、副检察长</w:t>
            </w:r>
          </w:p>
        </w:tc>
        <w:tc>
          <w:tcPr>
            <w:tcW w:w="30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梓潼县人民检察院</w:t>
            </w:r>
          </w:p>
        </w:tc>
        <w:tc>
          <w:tcPr>
            <w:tcW w:w="177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p>
        </w:tc>
      </w:tr>
      <w:tr>
        <w:tblPrEx>
          <w:tblCellMar>
            <w:top w:w="0" w:type="dxa"/>
            <w:left w:w="0" w:type="dxa"/>
            <w:bottom w:w="0" w:type="dxa"/>
            <w:right w:w="0" w:type="dxa"/>
          </w:tblCellMar>
        </w:tblPrEx>
        <w:trPr>
          <w:trHeight w:val="1683" w:hRule="atLeast"/>
        </w:trPr>
        <w:tc>
          <w:tcPr>
            <w:tcW w:w="212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评价组
</w:t>
            </w:r>
            <w:r>
              <w:rPr>
                <w:rFonts w:hint="eastAsia" w:ascii="微软雅黑" w:hAnsi="微软雅黑" w:eastAsia="微软雅黑" w:cs="微软雅黑"/>
                <w:color w:val="000000"/>
                <w:sz w:val="20"/>
              </w:rPr>
              <w:br w:type="textWrapping"/>
            </w:r>
            <w:r>
              <w:rPr>
                <w:rFonts w:hint="eastAsia" w:ascii="微软雅黑" w:hAnsi="微软雅黑" w:eastAsia="微软雅黑" w:cs="微软雅黑"/>
                <w:color w:val="000000"/>
                <w:sz w:val="20"/>
              </w:rPr>
              <w:t>意见</w:t>
            </w:r>
          </w:p>
        </w:tc>
        <w:tc>
          <w:tcPr>
            <w:tcW w:w="6607"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p>
        </w:tc>
      </w:tr>
      <w:tr>
        <w:tblPrEx>
          <w:tblCellMar>
            <w:top w:w="0" w:type="dxa"/>
            <w:left w:w="0" w:type="dxa"/>
            <w:bottom w:w="0" w:type="dxa"/>
            <w:right w:w="0" w:type="dxa"/>
          </w:tblCellMar>
        </w:tblPrEx>
        <w:trPr>
          <w:trHeight w:val="1346" w:hRule="atLeast"/>
        </w:trPr>
        <w:tc>
          <w:tcPr>
            <w:tcW w:w="212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部门(单位)意见</w:t>
            </w:r>
          </w:p>
        </w:tc>
        <w:tc>
          <w:tcPr>
            <w:tcW w:w="6607"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p>
        </w:tc>
      </w:tr>
      <w:tr>
        <w:tblPrEx>
          <w:tblCellMar>
            <w:top w:w="0" w:type="dxa"/>
            <w:left w:w="0" w:type="dxa"/>
            <w:bottom w:w="0" w:type="dxa"/>
            <w:right w:w="0" w:type="dxa"/>
          </w:tblCellMar>
        </w:tblPrEx>
        <w:trPr>
          <w:trHeight w:val="1458" w:hRule="atLeast"/>
        </w:trPr>
        <w:tc>
          <w:tcPr>
            <w:tcW w:w="2123"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财政部门归口业务股室意见</w:t>
            </w:r>
          </w:p>
        </w:tc>
        <w:tc>
          <w:tcPr>
            <w:tcW w:w="6607"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p>
        </w:tc>
      </w:tr>
    </w:tbl>
    <w:p>
      <w:pPr>
        <w:spacing w:after="0" w:line="1" w:lineRule="exact"/>
      </w:pPr>
    </w:p>
    <w:sectPr>
      <w:pgSz w:w="11905" w:h="16837"/>
      <w:pgMar w:top="2097" w:right="1474" w:bottom="1984" w:left="1587"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华文仿宋">
    <w:altName w:val="方正仿宋_GBK"/>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ompat>
    <w:useFELayout/>
    <w:splitPgBreakAndParaMark/>
    <w:compatSetting w:name="compatibilityMode" w:uri="http://schemas.microsoft.com/office/word" w:val="12"/>
  </w:compat>
  <w:rsids>
    <w:rsidRoot w:val="00000000"/>
    <w:rsid w:val="32BDFE7F"/>
    <w:rsid w:val="6FBB35B6"/>
    <w:rsid w:val="7DEE292B"/>
    <w:rsid w:val="7F7D07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HiddenStyleName"/>
    <w:qFormat/>
    <w:uiPriority w:val="0"/>
    <w:pPr>
      <w:pBdr>
        <w:top w:val="none" w:color="000000" w:sz="0" w:space="0"/>
        <w:left w:val="none" w:color="000000" w:sz="0" w:space="0"/>
        <w:bottom w:val="none" w:color="000000" w:sz="0" w:space="0"/>
        <w:right w:val="none" w:color="000000" w:sz="0" w:space="0"/>
      </w:pBdr>
      <w:ind w:left="720"/>
      <w:jc w:val="both"/>
    </w:pPr>
    <w:rPr>
      <w:rFonts w:hint="eastAsia" w:ascii="Arial" w:hAnsi="Arial" w:eastAsia="Arial" w:cs="Arial"/>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2024-06-07T19:40:00Z</dcterms:created>
  <dc:creator>ASP.NET v4.0 Classic</dc:creator>
  <cp:lastModifiedBy>HUAWEI</cp:lastModifiedBy>
  <dcterms:modified xsi:type="dcterms:W3CDTF">2024-09-19T16:10:44Z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84EC5F123C0C185254816266879602E8</vt:lpwstr>
  </property>
</Properties>
</file>