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" w:lineRule="exact"/>
      </w:pPr>
      <w:bookmarkStart w:id="0" w:name="A4077B1411954AA08F418DC4532AB007"/>
      <w:bookmarkEnd w:id="0"/>
    </w:p>
    <w:tbl>
      <w:tblPr>
        <w:tblStyle w:val="2"/>
        <w:tblW w:w="159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268"/>
        <w:gridCol w:w="1587"/>
        <w:gridCol w:w="2381"/>
        <w:gridCol w:w="567"/>
        <w:gridCol w:w="1247"/>
        <w:gridCol w:w="567"/>
        <w:gridCol w:w="2154"/>
        <w:gridCol w:w="680"/>
        <w:gridCol w:w="907"/>
        <w:gridCol w:w="2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910" w:type="dxa"/>
            <w:gridSpan w:val="11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附件3：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0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1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2024年6月5日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6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信息化运维费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预算执行率较低原因：预算金额37万元，预算执行金额37万元，执行率为100%； 预算调整(调增/调减)原因：预算无调整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信息化运维费是用于网络租赁及配套服务、档案数字化服务费用以及检察信息化网络设备运行维护等费用。通过使用该项目资金确保信息网络安全，保障网络运行通畅，创造有利办案条件。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2023年我院信息化运维费是用于网络租赁及配套服务、档案数字化服务费用以及检察信息化网络设备运行维护等费用。通过使用该项目资金确保信息网络安全，保障网络运行通畅，为办案创造了有利条件。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项目立项符合法律法规、相关政策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项目申请、设立过程符合相关要求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项目所设绩效目标包含成本、数量、时效、质量、效益及满意度指标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项目所设定的绩效目标与项目实施的情况相符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项目预算编制与项目内容匹配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项目预算资金分配有测算依据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项目完成达到预期程度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项目资金使用符合相关的财务管理制度规定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维护网络条数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条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信息网络维护更新及时率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网络安全防范率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网络系统运行故障率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运行成本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社会效益指标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促进改善办案基础设施和办案条件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工作人员满意度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100.00分，自评等次为：优。根据该项目决策及过程管理、预算执行率及绩效目标实现程度指标自评得分100.00分，自评等次为：优。2023年信息化运维项目绩效自评得分100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0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1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2024年6月5日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6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检察业务费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26.06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0.60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6.06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预算执行率较低原因：预算数43万元，预算执行数26.06万元，执行率26.06/43=60.6%，主要原因电梯项目已进入政府采购程序，周期跨度长。； 预算调整(调增/调减)原因：预算无调整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43.00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26.06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0.60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用于办理公益诉讼案件所需调查取证、勘验鉴定、咨询评估费，评估服务费，推动侦查监督与协作配合办公室（含基层站点）实体化运行工作经费，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考察费，开展职务犯罪警示教育所需工作经费，开展未成年人心理疏导、帮教考察、亲职教育所需服务和培训费，开展刑事执行检察业务培训、专项活动所需工作经费，开展检察听证、代表委员联络所需会议费和协助办案费开展检察理论调研和基层（或相关单位）检察工作联络站运行经费、面向基层普法（含宣传）所需工作经费；机关维修维护所需经费。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2023年我院检察业务费用于办案时出差住宿费，培训费及院内的维修维护，项目目标基本完成。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项目立项符合法律法规、相关政策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项目申请、设立过程符合相关要求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项目所设绩效目标包含成本、数量、时效、质量、效益及满意度指标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项目所设定的绩效目标与项目实施的情况相符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项目预算编制与项目内容相匹配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项目预算资金分配有测算依据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项目完成基本达到预期程度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项目资金使用符合相关的财务管理制度规定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民事行政案件办案数量、公益诉讼案件办理数量、检察听证案件数、专项检察监督活动数量、行政监督案件化解行政争议数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173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件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案源减少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法治宣传活动开展次数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次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预算执行及时性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案件办结率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采购成本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36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33.88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社会效益指标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扎实开展援藏工作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法治宣传教育影响持续加强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良好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社会公众满意度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89.08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96.30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96.30分，自评等次为：优。根据该项目决策及过程管理、预算执行率及绩效目标实现程度指标自评得分96.3分，自评等次为：优。2023年检察业务费项目自评得分96.3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一是项目执行方面，政府采购行时间跨度长，年度执行率较低；二是绩效管理意识较薄弱，对项目绩效管理缺乏足够重视。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一是提前规划项目，提高资金的使用效率；二是加强对绩效管理人员和业务部门干警绩效知识培训，强化绩效意识，提前谋划，加快项目执行进度。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0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1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2024年6月5日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6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特定转移支付Z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126.79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283.79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255.24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0.89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8.99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预算执行率较低原因：全年预算数283.79万元，预算执行数255.24万元，预算执行率为：255.24/283.79=89.94%，主要是因为34万的转移支付资金是在10月18日下达的，时间较晚。； 预算调整(调增/调减)原因：年初预算126.79万元为中央转移支付上年结转资金，2023年下达转移支付资金157万元，其中6月9日下达123万元，10月18日下达34万元。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126.79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283.79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255.24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.89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default" w:ascii="微软雅黑" w:hAnsi="微软雅黑" w:eastAsia="微软雅黑" w:cs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目标1：超额完成市级、县级对检察院各项业务工作绩效考核，大力支持公益诉讼案件办理；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目标2：按照装备计划执行装备采购项目，为数字检察工作提供保障。</w:t>
            </w:r>
          </w:p>
        </w:tc>
        <w:tc>
          <w:tcPr>
            <w:tcW w:w="6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1：超额完成市级、县级对检察院各项业务工作绩效考核工作并取得优异的成绩，大力支持公益诉讼案件办理，办理行政公益诉讼案件22件，发出诉前检察建议20份，全年收到公益诉讼赔偿金517.09万元，维护了国家利益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目标2：二是共131.34万用于装备采购项目，包括“梓潼县人民检察院LED显示屏采购项目”、“视频会议室升级改造项目”、“12309检察服务中心升级及数字分析中心建设项目”，为数字检察工作提供保障。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项目立项符合合法律法规、相关政策、发展规划以及部门职责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项目申请、设立过程符合相关要求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项目所设绩效目标包含成本、数量、时效、质量、效益及满意度指标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项目所设定的绩效目标与项目实施的情况相符，做到细化量化，可比可测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项目预算编制与项目内容匹配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项目预算资金分配有测算依据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项目完成达到了预期程度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项目资金使用符合相关的财务管理规定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采购成本（万元）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73.9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万元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66.73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侦查活动违法监督数（件）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19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公益诉讼案件办理数（件）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1.70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侦查方面变动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其他案件办量数（件）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刑事案件提出抗诉数（件）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案源减少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刑事申诉案件办理数（件）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刑罚执行监管违法提出纠正案件数（件）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各类信访案件办理数（件）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国家司法救助人数（人）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审判活动违法监督数（件）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1.14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未考核监督数量，只考核采纳率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审查起诉人数（人）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267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审查逮捕人数(人)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49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检察技术案件办理数（件）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民事案件办理数（件）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56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立案监督案件办理数（人）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羁押必要性审查案件初审数（件）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案源减少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行政案件办理数（件）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购置交通设备数量(辆)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等待上级批复，该批复与2024年2月20日下达，现已进入采购流程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购置信息网络设备数量(台套)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购置检察业务常规设备数量(台套)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购置视频会议系统设备数量(台套)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业务装备采购及时性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资金下拨及时性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案件办结率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91.2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购置装备合格率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对基层检察机关业务装备经费保障力度持续加强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对基层检察机关办案经费保障力度持续加强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法制宣传教育影响持续加强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社会效益指标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化解社会矛盾，为经济社会发展提供良好环境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化解社会矛盾，为经济社会发展提供良好环境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办案人员满意度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社会公众满意度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2.50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83.84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94.98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94.98分，自评等次为：优。根据该项目决策及过程管理、预算执行率及绩效目标实现程度指标自评得分94.98分，自评等次为：优。2023年特定转移支付项目自评得分94.98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一是资金管理方面，资金下达存在滞后，影响执行进度。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二是编制绩效目未全面了解办案方向。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lang w:val="en-US" w:eastAsia="zh-CN"/>
              </w:rPr>
              <w:t>一是希望提前下达资金，提前编制装备计划，根据项目实施计划及时完成拨付款项，提高资金使用效率。二是加强与部门间的沟通。</w:t>
            </w:r>
          </w:p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</w:tbl>
    <w:p>
      <w:pPr>
        <w:spacing w:after="0" w:line="1" w:lineRule="exact"/>
      </w:pPr>
    </w:p>
    <w:sectPr>
      <w:pgSz w:w="16837" w:h="11905" w:orient="landscape"/>
      <w:pgMar w:top="283" w:right="283" w:bottom="283" w:left="28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6C78B"/>
    <w:rsid w:val="57D4495C"/>
    <w:rsid w:val="65FEEA13"/>
    <w:rsid w:val="F57FB05F"/>
    <w:rsid w:val="F7760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HiddenStyleName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ind w:left="720"/>
      <w:jc w:val="both"/>
    </w:pPr>
    <w:rPr>
      <w:rFonts w:hint="eastAsia" w:ascii="Arial" w:hAnsi="Arial" w:eastAsia="Arial" w:cs="Arial"/>
      <w:color w:val="00000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2024-06-06T18:29:00Z</dcterms:created>
  <dc:creator>ASP.NET v4.0 Classic</dc:creator>
  <cp:lastModifiedBy>HUAWEI</cp:lastModifiedBy>
  <dcterms:modified xsi:type="dcterms:W3CDTF">2024-09-19T16:13:41Z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382CE2D79C3985E5C2CD5F66E7AFC6DA</vt:lpwstr>
  </property>
</Properties>
</file>