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1" w:lineRule="exact"/>
      </w:pPr>
      <w:bookmarkStart w:id="0" w:name="A4077B1411954AA08F418DC4532AB007"/>
      <w:bookmarkEnd w:id="0"/>
    </w:p>
    <w:p>
      <w:pPr>
        <w:spacing w:after="0" w:line="120" w:lineRule="exact"/>
      </w:pPr>
    </w:p>
    <w:p>
      <w:pPr>
        <w:spacing w:before="40" w:after="40" w:line="640" w:lineRule="exact"/>
        <w:ind w:left="153" w:right="153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</w:rPr>
        <w:t>梓潼县人民检察院</w:t>
      </w:r>
    </w:p>
    <w:p>
      <w:pPr>
        <w:spacing w:after="0" w:line="49" w:lineRule="exact"/>
      </w:pPr>
    </w:p>
    <w:p>
      <w:pPr>
        <w:spacing w:before="40" w:after="40" w:line="640" w:lineRule="exact"/>
        <w:ind w:left="189" w:right="116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</w:rPr>
        <w:t>关于2024年度财政政策（项目）支出</w:t>
      </w:r>
    </w:p>
    <w:p>
      <w:pPr>
        <w:spacing w:after="0" w:line="3" w:lineRule="exact"/>
      </w:pPr>
    </w:p>
    <w:p>
      <w:pPr>
        <w:spacing w:before="40" w:after="40" w:line="640" w:lineRule="exact"/>
        <w:ind w:left="205" w:right="101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</w:rPr>
        <w:t>绩效自评报告</w:t>
      </w:r>
    </w:p>
    <w:p>
      <w:pPr>
        <w:spacing w:after="0" w:line="371" w:lineRule="exact"/>
      </w:pPr>
    </w:p>
    <w:p>
      <w:pPr>
        <w:spacing w:before="40" w:after="40" w:line="520" w:lineRule="exact"/>
        <w:ind w:left="40" w:right="5028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绵阳市财政局：</w:t>
      </w:r>
    </w:p>
    <w:p>
      <w:pPr>
        <w:spacing w:after="0" w:line="2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为贯彻落实中央、省、市、区全面实施预算绩效管理的安排部署，进一步优化财政资源配置，提高财政资金使用效益，按照《关于开展2024年度财政政策（项目）支出绩效自评的通知》（绵财绩【2025】4号）要求，我单位于6月组织开展了自评工作，现将相关情况报告如下：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一、项目基本情况</w:t>
      </w:r>
    </w:p>
    <w:p>
      <w:pPr>
        <w:spacing w:after="0" w:line="69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2024年度，我单位实施项目5个（部门项目3个，其他运转类项目2个），资金范围涵盖一般公共预算，预算资金270.49万元（中央、省补助177.55万元,市级财政资金92.94万元）。其中：一般公共预算项目5个，预算资金270.49万元（中央、省补助177.55万元,市级财政资金92.94万元）；）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二、项目管理与绩效目标完成情况分析</w:t>
      </w:r>
    </w:p>
    <w:p>
      <w:pPr>
        <w:spacing w:after="0" w:line="69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（一）预算执行进度情况分析。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2024年度，我单位实施项目5个（部门项目3个，其他运转类项目2个），实施项目预算执行218.58万元（中央、省补助125.65万元,市级财政资金92.93万元），预算执行率80.81%。其中：一般公共预算项目5个，预算执行218.58万元（中央、省补助125.65万元, 市级财政资金92.93万元），预算执行率80.81%。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（二）总体绩效目标完成情况分析。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通过自评反映，我单位全年5个项目年度总体绩效目标全部完成5个，占100.00%。其中一般公共预算项目5个，全部完成5个，占100.00%；。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（三）项目（决策与过程）管理分析。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项目管理评价具体明细情况（见附件1）。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项目5个（其中部门项目3个，其他运转类项目2个）。项目（决策与过程）管理综合评价平均得分100.00，等级为：优。其中管理评价得分高于平均分项目0个，占比0.00%，得分低于平均分项目0个，占比0.00%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（四）绩效指标完成情况分析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1.数量指标。</w:t>
      </w:r>
    </w:p>
    <w:p>
      <w:pPr>
        <w:spacing w:after="0" w:line="69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通过自评反映，我单位全年5个项目涉及年度产出数量指标共计9个，全部完成9个，占100.00%。其中一般公共预算项目数量指标9个，全部完成9个，占100.00%；。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2.质量指标。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通过自评反映，我单位全年5个项目涉及年度产出质量指标共计7个，完成质量达100-90(含)%的指标7个，占100.00%。其中一般公共预算项目质量指标7个，完成质量达100-90(含)%的指标7个，占100.00%；。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3.时效指标。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通过自评反映，我单位全年5个项目涉及年度产出时效指标共计6个，按时完成6个，占100.00%。其中一般公共预算项目质量指标6个，按时完成6个，占100.00%；。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4.成本指标。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通过自评反映，我单位全年5个项目涉及年度产出成本指标共计5个，全部完成4个，占80.00%；未完成1个，占20.00%。其中一般公共预算项目成本指标5个，全部完成4个，占80.00%；未完成1个，占20.00%；。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5.经济效益指标。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通过自评反映，我单位全年5个项目均不涉及经济效益指标。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6.社会效益指标。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通过自评反映，我单位全年5个项目涉及社会效益指标共计9个，优秀的指标9个，占100.00%。其中一般公共预算项目社会效益指标9个，优秀的指标9个，占100.00%。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7.生态效益指标。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通过自评反映，我单位全年5个项目均不涉及生态效益指标。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8.可持续效益指标。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通过自评反映，我单位全年5个项目涉及可持续效益指标共计1个，可持续1个，占100.00%。其中一般公共预算项目可持续效益1个，可持续1个，占100.00%；。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b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</w:rPr>
        <w:t>9.满意度指标。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通过自评反映，我单位全年5个项目涉及满意度指标共计6个，满意度达100-90(含)%的指标6个，占100.00%。其中一般公共预算项目满意度指标6个，满意度达100-90(含)%的指标6个，占100.00%。</w:t>
      </w:r>
    </w:p>
    <w:p>
      <w:pPr>
        <w:spacing w:after="0" w:line="69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三、评价结论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（一）综合评价结论。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项目综合评价结论明细情况表（见附件2）。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通过自评反映，我单位全年项目5个（其中部门项目3个，其他运转类项目2个），项目综合评价平均得分96.87，等级为：优。其中综合评价得分高于平均分项目4个，占比80.00%，得分低于平均分项目1个，占比20.00%。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(二)绩效目标实现情况。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按照《关于开展2024年度财政政策（项目）支出绩效自评的通知》〔绵财绩【2025】4号）通知要求，评价工作组根据《绵阳市财政政策（项目）支出绩效自评指标体系》，结合项目实际和项目管理办法、专项资金管理办法及其他相关资料，对2024年度绩效目标进行认真梳理，从投入、过程、成本、产出及效果等方面设定的绩效核心指标，依据评分标准进行评价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绩效目标实现评价具体情况自评表（见附件3）。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四、偏离绩效目标的原因和下一步改进措施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（一）偏离绩效目标的原因。</w:t>
      </w:r>
    </w:p>
    <w:p>
      <w:pPr>
        <w:spacing w:after="0" w:line="69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一是项目执行方面，政府采购金额预算的不够精确，项目时间跨度长；二是资金管理方面，资金下达存在滞后，影响执行进度；三是绩效管理意识较薄弱，对项目绩效管理缺乏足够重视。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（二）下一步改进措施。针对自评反映问题，提出如下改进措施。</w:t>
      </w:r>
    </w:p>
    <w:p>
      <w:pPr>
        <w:spacing w:after="0" w:line="69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一是加强对政府采购流程的熟悉及金额的核算，提前规划项目，加快项目采购进度；二是希望能提前下达资金，提高资金的使用效率；三是加强对绩效管理人员和业务部门干警绩效知识培训，强化绩效意识。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五、绩效自评结果拟应用和公开情况</w:t>
      </w:r>
    </w:p>
    <w:p>
      <w:pPr>
        <w:spacing w:after="0" w:line="69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（一）绩效自评结果拟应用情况。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我院将高度重视绩效评价结果，加强内控管理制度的学习，项目资金按照财务管理制度执行。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楷体_GB2312" w:hAnsi="楷体_GB2312" w:eastAsia="楷体_GB2312" w:cs="楷体_GB2312"/>
          <w:b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</w:rPr>
        <w:t>（二）绩效自评结果公开情况。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本单位自评报告待202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</w:rPr>
        <w:t>年部门决算批复后，随同部门决算在政府门户网站“财政预（决）算”专栏公开政策（项目）自评报告及绩效目标自评表。</w:t>
      </w:r>
    </w:p>
    <w:p>
      <w:pPr>
        <w:spacing w:after="0" w:line="68" w:lineRule="exact"/>
      </w:pPr>
    </w:p>
    <w:p>
      <w:pPr>
        <w:spacing w:before="40" w:after="40" w:line="520" w:lineRule="exact"/>
        <w:ind w:left="153" w:right="153"/>
        <w:jc w:val="lef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六、其他需要说明的问题</w:t>
      </w:r>
    </w:p>
    <w:p>
      <w:pPr>
        <w:spacing w:after="0" w:line="68" w:lineRule="exact"/>
      </w:pPr>
    </w:p>
    <w:p>
      <w:pPr>
        <w:wordWrap w:val="0"/>
        <w:spacing w:before="40" w:after="40" w:line="52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无</w:t>
      </w:r>
    </w:p>
    <w:p>
      <w:pPr>
        <w:spacing w:after="0" w:line="1063" w:lineRule="exact"/>
      </w:pPr>
    </w:p>
    <w:p>
      <w:pPr>
        <w:wordWrap w:val="0"/>
        <w:spacing w:before="40" w:after="40" w:line="44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附件1：梓潼县人民检察院项目（决策与过程）管理评价明细情况表</w:t>
      </w:r>
    </w:p>
    <w:p>
      <w:pPr>
        <w:spacing w:after="0" w:line="28" w:lineRule="exact"/>
      </w:pPr>
    </w:p>
    <w:p>
      <w:pPr>
        <w:wordWrap w:val="0"/>
        <w:spacing w:before="40" w:after="40" w:line="44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附件2：梓潼县人民检察院项目综合评价结论明细情况表</w:t>
      </w:r>
    </w:p>
    <w:p>
      <w:pPr>
        <w:spacing w:after="0" w:line="29" w:lineRule="exact"/>
      </w:pPr>
    </w:p>
    <w:p>
      <w:pPr>
        <w:wordWrap w:val="0"/>
        <w:spacing w:before="40" w:after="40" w:line="440" w:lineRule="exact"/>
        <w:ind w:left="153" w:right="153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附件3：梓潼县人民检察院部门预算项目支出绩效自评表</w:t>
      </w:r>
    </w:p>
    <w:p>
      <w:pPr>
        <w:spacing w:after="0" w:line="822" w:lineRule="exact"/>
      </w:pPr>
    </w:p>
    <w:p>
      <w:pPr>
        <w:spacing w:before="40" w:after="40" w:line="520" w:lineRule="exact"/>
        <w:ind w:left="153" w:right="153"/>
        <w:jc w:val="righ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梓潼县人民检察院</w:t>
      </w:r>
    </w:p>
    <w:p>
      <w:pPr>
        <w:spacing w:after="0" w:line="28" w:lineRule="exact"/>
      </w:pPr>
    </w:p>
    <w:p>
      <w:pPr>
        <w:spacing w:before="40" w:after="40" w:line="520" w:lineRule="exact"/>
        <w:ind w:left="153" w:right="153"/>
        <w:jc w:val="righ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2025年6月19日</w:t>
      </w:r>
    </w:p>
    <w:p>
      <w:pPr>
        <w:spacing w:after="0" w:line="28" w:lineRule="exact"/>
      </w:pPr>
    </w:p>
    <w:tbl>
      <w:tblPr>
        <w:tblStyle w:val="2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8"/>
        <w:gridCol w:w="1164"/>
        <w:gridCol w:w="793"/>
        <w:gridCol w:w="566"/>
        <w:gridCol w:w="907"/>
        <w:gridCol w:w="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60" w:type="dxa"/>
            <w:gridSpan w:val="6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760" w:type="dxa"/>
            <w:gridSpan w:val="6"/>
            <w:vAlign w:val="top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梓潼县人民检察院项目（决策与过程）管理评价明细情况表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项目名称</w:t>
            </w:r>
          </w:p>
        </w:tc>
        <w:tc>
          <w:tcPr>
            <w:tcW w:w="11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项目类别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项目管理分项评价得分</w:t>
            </w:r>
          </w:p>
        </w:tc>
        <w:tc>
          <w:tcPr>
            <w:tcW w:w="9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项目管理评价总分</w:t>
            </w:r>
          </w:p>
        </w:tc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项目管理评价等级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1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设立与决策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实施过程</w:t>
            </w:r>
          </w:p>
        </w:tc>
        <w:tc>
          <w:tcPr>
            <w:tcW w:w="9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信息化运维项目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其他运转类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54.00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46.00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100.00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检察业务费项目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其他运转类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54.00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46.00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100.00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2024年特定转移支付Z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部门项目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54.00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46.00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100.00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检察业务费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部门项目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54.00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46.00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100.00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特定转移支付Z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部门项目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54.00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46.00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100.00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综合评价结论</w:t>
            </w:r>
          </w:p>
        </w:tc>
        <w:tc>
          <w:tcPr>
            <w:tcW w:w="25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全部项目管理综合平均得分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（单位项目管理评价总得分/单位项目总个数）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760" w:type="dxa"/>
            <w:gridSpan w:val="6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楷体_GB2312" w:hAnsi="楷体_GB2312" w:eastAsia="楷体_GB2312" w:cs="楷体_GB2312"/>
                <w:color w:val="000000"/>
                <w:sz w:val="16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6"/>
              </w:rPr>
              <w:t>说明：单位项目管理综合评价分值100分，取单位项目平均分值。评价等级分4档，根据综合评价平均分值设90（含）-100分为优、80（含）-90分为良、60（含）-80分为中、60分以下为差。</w:t>
            </w:r>
          </w:p>
        </w:tc>
      </w:tr>
    </w:tbl>
    <w:p>
      <w:pPr>
        <w:spacing w:after="0" w:line="1" w:lineRule="exact"/>
      </w:pPr>
    </w:p>
    <w:p>
      <w:pPr>
        <w:spacing w:after="0" w:line="43" w:lineRule="exact"/>
      </w:pPr>
    </w:p>
    <w:tbl>
      <w:tblPr>
        <w:tblStyle w:val="2"/>
        <w:tblW w:w="87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970"/>
        <w:gridCol w:w="970"/>
        <w:gridCol w:w="970"/>
        <w:gridCol w:w="970"/>
        <w:gridCol w:w="970"/>
        <w:gridCol w:w="848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30" w:type="dxa"/>
            <w:gridSpan w:val="8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附件2：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730" w:type="dxa"/>
            <w:gridSpan w:val="8"/>
            <w:vAlign w:val="top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梓潼县人民检察院项目综合评价结论明细情况表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项目名称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项目类别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年初预算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调整后预算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自评得分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信息化运维项目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其他运转类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33.00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33.00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33.00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100.00%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检察业务费项目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其他运转类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43.00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43.00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43.00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100.00%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特定转移支付Z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部门项目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28.55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164.55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125.65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76.00%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98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检察业务费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部门项目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16.94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16.94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16.93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99.00%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2024年特定转移支付Z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部门项目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13.00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0.00%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86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合计：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121.49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270.49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218.58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项目综合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评价结论</w:t>
            </w:r>
          </w:p>
        </w:tc>
        <w:tc>
          <w:tcPr>
            <w:tcW w:w="4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全部项目综合平均得分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（单位项目综合评价总得分/单位项目总个数）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97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730" w:type="dxa"/>
            <w:gridSpan w:val="8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楷体_GB2312" w:hAnsi="楷体_GB2312" w:eastAsia="楷体_GB2312" w:cs="楷体_GB2312"/>
                <w:color w:val="000000"/>
                <w:sz w:val="16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6"/>
              </w:rPr>
              <w:t>说明：单位项目综合评价分值100分，取单位项目平均分值。评价等级分4档，根据综合评价平均分值设90（含）-100分为优、80（含）-90分为良、60（含）-80分为中、60分以下为差。</w:t>
            </w:r>
          </w:p>
        </w:tc>
      </w:tr>
    </w:tbl>
    <w:p>
      <w:pPr>
        <w:spacing w:after="0" w:line="1" w:lineRule="exact"/>
      </w:pPr>
    </w:p>
    <w:sectPr>
      <w:pgSz w:w="11905" w:h="16837"/>
      <w:pgMar w:top="2097" w:right="1474" w:bottom="1984" w:left="1587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FF7D3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HiddenStyleName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ind w:left="720"/>
      <w:jc w:val="both"/>
    </w:pPr>
    <w:rPr>
      <w:rFonts w:hint="eastAsia" w:ascii="Arial" w:hAnsi="Arial" w:eastAsia="Arial" w:cs="Arial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2025-06-19T15:03:51Z</dcterms:created>
  <dc:creator>ASP.NET v4.0 Classic</dc:creator>
  <cp:lastModifiedBy>HUAWEI</cp:lastModifiedBy>
  <dcterms:modified xsi:type="dcterms:W3CDTF">2025-06-19T15:05:07Z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9C2F3DB6E592D5FDA3B65368BEC10906</vt:lpwstr>
  </property>
</Properties>
</file>